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thessalonians-5"/>
    <w:p>
      <w:pPr>
        <w:pStyle w:val="Heading1"/>
      </w:pPr>
      <w:r>
        <w:t xml:space="preserve">Homiletics Analysis: 1 Thessalonians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Thessalonians 5 divides into two distinct but unified movements. The first (vv. 1–11) continues the eschatological instruction begun in chapter 4, shifting from the question of the dead in Christ (4:13–18) to the question of the day of the Lord’s timing. Paul does not give a schedule — he gives a posture. The day comes like a thief; its arrival cannot be predicted; but the Thessalonians are not in darkness. They are children of light and of the day, and therefore the coming day is not a threat to them but a completion. The eschatological section closes with a call to mutual encouragement and upbuilding (v. 11), which mirrors the closing of 4:13–18 and structurally signals that the whole eschatological unit (4:13–5:11) is oriented toward pastoral comfort, not speculative chronology.</w:t>
      </w:r>
    </w:p>
    <w:p>
      <w:pPr>
        <w:pStyle w:val="BodyText"/>
      </w:pPr>
      <w:r>
        <w:t xml:space="preserve">The second movement (vv. 12–28) is the letter’s closing paraenesis — a concentrated sequence of community ethics and corporate Christian life. Paul addresses the congregation’s relationship to its leaders (vv. 12–13), issues a series of brief imperatives governing life together (vv. 14–22), anchors the whole with a benediction rooted in God’s own sanctifying faithfulness (vv. 23–24), requests prayer, commands the fraternal greeting, and closes with a solemn charge to read the letter publicly (vv. 25–28). The paraenesis is not a random ethical list — it is organized around the corporate life of a congregation living between the already and the not yet, whose holiness is grounded in God’s own commitment to complete what He has begun.</w:t>
      </w:r>
    </w:p>
    <w:p>
      <w:pPr>
        <w:pStyle w:val="BodyText"/>
      </w:pPr>
      <w:r>
        <w:rPr>
          <w:b/>
          <w:bCs/>
        </w:rPr>
        <w:t xml:space="preserve">This Text — Intent</w:t>
      </w:r>
    </w:p>
    <w:p>
      <w:pPr>
        <w:pStyle w:val="BodyText"/>
      </w:pPr>
      <w:r>
        <w:t xml:space="preserve">God is seeking to shape a community — not merely inform individuals. The eschatological warning is not designed to produce anxiety about timing but to produce settled, sober, wide-awake communal readiness. The paraenesis is not designed to produce guilt about ethical deficiency but to shape a congregation that visibly embodies the life of the age to come in the present age. The governing intent across the entire chapter is:</w:t>
      </w:r>
      <w:r>
        <w:t xml:space="preserve"> </w:t>
      </w:r>
      <w:r>
        <w:rPr>
          <w:i/>
          <w:iCs/>
        </w:rPr>
        <w:t xml:space="preserve">you are children of the day — now live like it, together, because God Himself will see to your completion.</w:t>
      </w:r>
      <w:r>
        <w:t xml:space="preserve"> </w:t>
      </w:r>
      <w:r>
        <w:t xml:space="preserve">The chapter’s pastoral anchor is the benediction of vv. 23–24: God is faithful, and He will do it. The imperatives derive their force not from moral demand but from eschatological identity and divine faithfulness.</w:t>
      </w:r>
    </w:p>
    <w:p>
      <w:r>
        <w:pict>
          <v:rect style="width:0;height:1.5pt" o:hralign="center" o:hrstd="t" o:hr="t"/>
        </w:pict>
      </w:r>
    </w:p>
    <w:p>
      <w:pPr>
        <w:pStyle w:val="FirstParagraph"/>
      </w:pPr>
      <w:r>
        <w:rPr>
          <w:b/>
          <w:bCs/>
        </w:rPr>
        <w:t xml:space="preserve">Subject Sentence:</w:t>
      </w:r>
      <w:r>
        <w:t xml:space="preserve"> </w:t>
      </w:r>
      <w:r>
        <w:t xml:space="preserve">Children of the day live in corporate, Spirit-sustained readiness until the Lord returns.</w:t>
      </w:r>
    </w:p>
    <w:p>
      <w:r>
        <w:pict>
          <v:rect style="width:0;height:1.5pt" o:hralign="center" o:hrstd="t" o:hr="t"/>
        </w:pict>
      </w:r>
    </w:p>
    <w:p>
      <w:pPr>
        <w:pStyle w:val="FirstParagraph"/>
      </w:pPr>
      <w:r>
        <w:rPr>
          <w:b/>
          <w:bCs/>
        </w:rPr>
        <w:t xml:space="preserve">Primary Claim:</w:t>
      </w:r>
      <w:r>
        <w:t xml:space="preserve"> </w:t>
      </w:r>
      <w:r>
        <w:t xml:space="preserve">Because you belong to the day and not the darkness, God is calling you to a wide-awake, mutually-building communal life — and because He is faithful, He will complete in you what He has begun.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Day of the Lord and the</w:t>
      </w:r>
      <w:r>
        <w:rPr>
          <w:b/>
          <w:bCs/>
        </w:rPr>
        <w:t xml:space="preserve"> </w:t>
      </w:r>
      <w:r>
        <w:rPr>
          <w:b/>
          <w:bCs/>
        </w:rPr>
        <w:t xml:space="preserve">“Thief”</w:t>
      </w:r>
      <w:r>
        <w:rPr>
          <w:b/>
          <w:bCs/>
        </w:rPr>
        <w:t xml:space="preserve"> </w:t>
      </w:r>
      <w:r>
        <w:rPr>
          <w:b/>
          <w:bCs/>
        </w:rPr>
        <w:t xml:space="preserve">Metaphor (vv. 1–3)</w:t>
      </w:r>
    </w:p>
    <w:p>
      <w:pPr>
        <w:pStyle w:val="BodyText"/>
      </w:pPr>
      <w:r>
        <w:t xml:space="preserve">Dispensational interpreters frequently subdivide vv. 1–11 into two distinct events: the rapture (4:13–18, the church removed before the tribulation) and the day of the Lord (5:1–11, falling on those</w:t>
      </w:r>
      <w:r>
        <w:t xml:space="preserve"> </w:t>
      </w:r>
      <w:r>
        <w:t xml:space="preserve">“left behind”</w:t>
      </w:r>
      <w:r>
        <w:t xml:space="preserve">). On this reading,</w:t>
      </w:r>
      <w:r>
        <w:t xml:space="preserve"> </w:t>
      </w:r>
      <w:r>
        <w:t xml:space="preserve">“they say</w:t>
      </w:r>
      <w:r>
        <w:t xml:space="preserve"> </w:t>
      </w:r>
      <w:r>
        <w:t xml:space="preserve">‘peace and safety’</w:t>
      </w:r>
      <w:r>
        <w:t xml:space="preserve">”</w:t>
      </w:r>
      <w:r>
        <w:t xml:space="preserve"> </w:t>
      </w:r>
      <w:r>
        <w:t xml:space="preserve">(v. 3) refers to a post-rapture world, and the Thessalonians are reassured they will not be present for the day of the Lord at all. The exegetical difficulty with this reading is significant: Paul’s pronouns shift from</w:t>
      </w:r>
      <w:r>
        <w:t xml:space="preserve"> </w:t>
      </w:r>
      <w:r>
        <w:t xml:space="preserve">“they”</w:t>
      </w:r>
      <w:r>
        <w:t xml:space="preserve"> </w:t>
      </w:r>
      <w:r>
        <w:t xml:space="preserve">(those who will be caught in sudden destruction, v. 3) to</w:t>
      </w:r>
      <w:r>
        <w:t xml:space="preserve"> </w:t>
      </w:r>
      <w:r>
        <w:t xml:space="preserve">“you”</w:t>
      </w:r>
      <w:r>
        <w:t xml:space="preserve"> </w:t>
      </w:r>
      <w:r>
        <w:t xml:space="preserve">(the Thessalonians, v. 4) in a way that presupposes the Thessalonians will be present when the day arrives — not removed before it. The contrast is not between those present and those removed, but between those in darkness (unprepared) and those in the light (prepared). The Reformed and historic Protestant reading treats 4:13–5:11 as a continuous unit addressing the same congregation about two aspects of the same return: what happens to those who have died, and how the living should posture themselves in light of the Lord’s certain but unscheduled arrival. This reading is strongly preferred on grammatical and canonical grounds.</w:t>
      </w:r>
    </w:p>
    <w:p>
      <w:pPr>
        <w:pStyle w:val="BodyText"/>
      </w:pPr>
      <w:r>
        <w:rPr>
          <w:b/>
          <w:bCs/>
        </w:rPr>
        <w:t xml:space="preserve">“Sons of Light”</w:t>
      </w:r>
      <w:r>
        <w:rPr>
          <w:b/>
          <w:bCs/>
        </w:rPr>
        <w:t xml:space="preserve"> </w:t>
      </w:r>
      <w:r>
        <w:rPr>
          <w:b/>
          <w:bCs/>
        </w:rPr>
        <w:t xml:space="preserve">Identity and Its Ethical Force (vv. 4–8)</w:t>
      </w:r>
    </w:p>
    <w:p>
      <w:pPr>
        <w:pStyle w:val="BodyText"/>
      </w:pPr>
      <w:r>
        <w:t xml:space="preserve">Some Wesleyan and Holiness interpreters read vv. 4–8 primarily as a summons to progressive sanctification — the armor imagery (v. 8) being understood as disciplines the believer must pursue. While the sanctification emphasis is not wrong, it risks missing the indicative-imperative structure that governs Paul’s ethics throughout. The identity (</w:t>
      </w:r>
      <w:r>
        <w:t xml:space="preserve">“you are sons of light,”</w:t>
      </w:r>
      <w:r>
        <w:t xml:space="preserve"> </w:t>
      </w:r>
      <w:r>
        <w:t xml:space="preserve">v. 5) is stated indicatively before any imperative is issued. The Reformed reading insists the imperatives (</w:t>
      </w:r>
      <w:r>
        <w:t xml:space="preserve">“let us not sleep,”</w:t>
      </w:r>
      <w:r>
        <w:t xml:space="preserve"> </w:t>
      </w:r>
      <w:r>
        <w:t xml:space="preserve">v. 6;</w:t>
      </w:r>
      <w:r>
        <w:t xml:space="preserve"> </w:t>
      </w:r>
      <w:r>
        <w:t xml:space="preserve">“let us be sober,”</w:t>
      </w:r>
      <w:r>
        <w:t xml:space="preserve"> </w:t>
      </w:r>
      <w:r>
        <w:t xml:space="preserve">v. 6;</w:t>
      </w:r>
      <w:r>
        <w:t xml:space="preserve"> </w:t>
      </w:r>
      <w:r>
        <w:t xml:space="preserve">“let us be awake and sober,”</w:t>
      </w:r>
      <w:r>
        <w:t xml:space="preserve"> </w:t>
      </w:r>
      <w:r>
        <w:t xml:space="preserve">v. 8) derive their force from the identity already established — not the reverse. Believers are not called to become children of light through obedience; they are called to live out what they already are. The armor of faith, love, and hope (v. 8) echoes Ephesians 6 and Isaiah 59:17, grounding the ethical call in messianic and covenantal categories, not merely moral effort. The Wesleyan contribution worth retaining: the ethical seriousness of this passage is not decorative — real alertness, real sobriety, and real corporate wakefulness are in view.</w:t>
      </w:r>
    </w:p>
    <w:p>
      <w:pPr>
        <w:pStyle w:val="BodyText"/>
      </w:pPr>
      <w:r>
        <w:rPr>
          <w:b/>
          <w:bCs/>
        </w:rPr>
        <w:t xml:space="preserve">The Paraenetic List (vv. 14–22) — Disconnected Maxims or Coherent Community Ethics?</w:t>
      </w:r>
    </w:p>
    <w:p>
      <w:pPr>
        <w:pStyle w:val="BodyText"/>
      </w:pPr>
      <w:r>
        <w:t xml:space="preserve">Some expository traditions treat vv. 14–22 as a loose collection of independent ethical instructions with no governing logic. This reading tends to produce</w:t>
      </w:r>
      <w:r>
        <w:t xml:space="preserve"> </w:t>
      </w:r>
      <w:r>
        <w:t xml:space="preserve">“bullet point”</w:t>
      </w:r>
      <w:r>
        <w:t xml:space="preserve"> </w:t>
      </w:r>
      <w:r>
        <w:t xml:space="preserve">preaching that fragments the passage and loses the community orientation. Careful reading reveals structural coherence: the instructions move from the congregation’s internal differentiation (treat the idle, the fainthearted, and the weak differently, v. 14) through a governing principle of mutual good-doing (v. 15), into a sequence of continuous dispositions (rejoice always, pray without ceasing, give thanks in all circumstances, vv. 16–18) grounded in God’s will, followed by a pneumatological cluster (do not quench the Spirit, do not despise prophecy, test everything, hold to the good, abstain from evil, vv. 19–22). The paraenesis is corporate, pneumatologically grounded, and eschatologically framed — not a detached ethical checklist.</w:t>
      </w:r>
    </w:p>
    <w:p>
      <w:pPr>
        <w:pStyle w:val="BodyText"/>
      </w:pPr>
      <w:r>
        <w:rPr>
          <w:b/>
          <w:bCs/>
        </w:rPr>
        <w:t xml:space="preserve">The Sanctification Benediction (vv. 23–24) — Human Effort or Divine Faithfulness?</w:t>
      </w:r>
    </w:p>
    <w:p>
      <w:pPr>
        <w:pStyle w:val="BodyText"/>
      </w:pPr>
      <w:r>
        <w:t xml:space="preserve">This is the passage’s theological anchor and one of its most exegetically significant moments. Roman Catholic and some Wesleyan interpreters have occasionally read</w:t>
      </w:r>
      <w:r>
        <w:t xml:space="preserve"> </w:t>
      </w:r>
      <w:r>
        <w:t xml:space="preserve">“sanctify you completely”</w:t>
      </w:r>
      <w:r>
        <w:t xml:space="preserve"> </w:t>
      </w:r>
      <w:r>
        <w:t xml:space="preserve">(v. 23) as a reference to an experience of entire sanctification available in this life. The Reformed reading takes the full context seriously:</w:t>
      </w:r>
      <w:r>
        <w:t xml:space="preserve"> </w:t>
      </w:r>
      <w:r>
        <w:t xml:space="preserve">“at the coming of our Lord Jesus Christ”</w:t>
      </w:r>
      <w:r>
        <w:t xml:space="preserve"> </w:t>
      </w:r>
      <w:r>
        <w:t xml:space="preserve">(v. 23) places the completeness of this sanctification at the</w:t>
      </w:r>
      <w:r>
        <w:t xml:space="preserve"> </w:t>
      </w:r>
      <w:r>
        <w:rPr>
          <w:i/>
          <w:iCs/>
        </w:rPr>
        <w:t xml:space="preserve">parousia</w:t>
      </w:r>
      <w:r>
        <w:t xml:space="preserve"> </w:t>
      </w:r>
      <w:r>
        <w:t xml:space="preserve">— it is eschatological whole-person preservation, not a present achievement. Crucially, v. 24 is not an afterthought — it is the ground:</w:t>
      </w:r>
      <w:r>
        <w:t xml:space="preserve"> </w:t>
      </w:r>
      <w:r>
        <w:t xml:space="preserve">“He who calls you is faithful; He will surely do it.”</w:t>
      </w:r>
      <w:r>
        <w:t xml:space="preserve"> </w:t>
      </w:r>
      <w:r>
        <w:t xml:space="preserve">The passive voice and divine subject make clear that the sanctification in view is God’s act, not the believer’s accumulation. This does not eliminate the imperatives of vv. 12–22 but grounds them: the imperatives are the shape of life for a people whose completion God has already guaranteed.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59:17</w:t>
      </w:r>
      <w:r>
        <w:t xml:space="preserve"> </w:t>
      </w:r>
      <w:r>
        <w:t xml:space="preserve">— God Himself dons the armor of righteousness and salvation; Paul’s armor imagery in v. 8 is not merely martial metaphor but messianic — the believer’s armor is borrowed from the Servant’s own equipment, grounding ethical call in Christological reality.</w:t>
      </w:r>
    </w:p>
    <w:p>
      <w:pPr>
        <w:numPr>
          <w:ilvl w:val="0"/>
          <w:numId w:val="1001"/>
        </w:numPr>
      </w:pPr>
      <w:r>
        <w:rPr>
          <w:b/>
          <w:bCs/>
        </w:rPr>
        <w:t xml:space="preserve">Romans 13:11–14</w:t>
      </w:r>
      <w:r>
        <w:t xml:space="preserve"> </w:t>
      </w:r>
      <w:r>
        <w:t xml:space="preserve">— The closest Pauline parallel to vv. 4–8:</w:t>
      </w:r>
      <w:r>
        <w:t xml:space="preserve"> </w:t>
      </w:r>
      <w:r>
        <w:t xml:space="preserve">“the night is far gone; the day is at hand… put on the armor of light… put on the Lord Jesus Christ.”</w:t>
      </w:r>
      <w:r>
        <w:t xml:space="preserve"> </w:t>
      </w:r>
      <w:r>
        <w:t xml:space="preserve">The eschatological identity-to-imperative structure is identical, confirming that the pattern in 1 Thessalonians 5 is Paul’s governing ethical logic, not an isolated instruction.</w:t>
      </w:r>
    </w:p>
    <w:p>
      <w:pPr>
        <w:numPr>
          <w:ilvl w:val="0"/>
          <w:numId w:val="1001"/>
        </w:numPr>
      </w:pPr>
      <w:r>
        <w:rPr>
          <w:b/>
          <w:bCs/>
        </w:rPr>
        <w:t xml:space="preserve">Philippians 1:6</w:t>
      </w:r>
      <w:r>
        <w:t xml:space="preserve"> </w:t>
      </w:r>
      <w:r>
        <w:t xml:space="preserve">—</w:t>
      </w:r>
      <w:r>
        <w:t xml:space="preserve"> </w:t>
      </w:r>
      <w:r>
        <w:t xml:space="preserve">“He who began a good work in you will bring it to completion at the day of Jesus Christ”</w:t>
      </w:r>
      <w:r>
        <w:t xml:space="preserve"> </w:t>
      </w:r>
      <w:r>
        <w:t xml:space="preserve">— the most precise canonical echo of vv. 23–24; the ground of confidence is not the believer’s perseverance but God’s initiating and completing faithfulness.</w:t>
      </w:r>
    </w:p>
    <w:p>
      <w:pPr>
        <w:numPr>
          <w:ilvl w:val="0"/>
          <w:numId w:val="1001"/>
        </w:numPr>
      </w:pPr>
      <w:r>
        <w:rPr>
          <w:b/>
          <w:bCs/>
        </w:rPr>
        <w:t xml:space="preserve">John 17:17, 19</w:t>
      </w:r>
      <w:r>
        <w:t xml:space="preserve"> </w:t>
      </w:r>
      <w:r>
        <w:t xml:space="preserve">— Christ’s high-priestly prayer petitions the Father to sanctify believers in truth; Jesus consecrates Himself for their sake. The sanctification of the whole person (body, soul, spirit, v. 23) is not an isolated Pauline wish but grounded in Christ’s own intercessory and substitutionary work.</w:t>
      </w:r>
    </w:p>
    <w:p>
      <w:pPr>
        <w:numPr>
          <w:ilvl w:val="0"/>
          <w:numId w:val="1001"/>
        </w:numPr>
      </w:pPr>
      <w:r>
        <w:rPr>
          <w:b/>
          <w:bCs/>
        </w:rPr>
        <w:t xml:space="preserve">Revelation 16:15</w:t>
      </w:r>
      <w:r>
        <w:t xml:space="preserve"> </w:t>
      </w:r>
      <w:r>
        <w:t xml:space="preserve">—</w:t>
      </w:r>
      <w:r>
        <w:t xml:space="preserve"> </w:t>
      </w:r>
      <w:r>
        <w:t xml:space="preserve">“Behold, I am coming like a thief! Blessed is the one who stays awake…”</w:t>
      </w:r>
      <w:r>
        <w:t xml:space="preserve"> </w:t>
      </w:r>
      <w:r>
        <w:t xml:space="preserve">— canonical confirmation that the watchfulness called for in vv. 4–8 is not mere prudential advice but a beatitude of the coming kingdom, sustained across the entire New Testament witness.</w:t>
      </w:r>
    </w:p>
    <w:p>
      <w:r>
        <w:pict>
          <v:rect style="width:0;height:1.5pt" o:hralign="center" o:hrstd="t" o:hr="t"/>
        </w:pict>
      </w:r>
    </w:p>
    <w:p>
      <w:pPr>
        <w:pStyle w:val="FirstParagraph"/>
      </w:pPr>
      <w:r>
        <w:rPr>
          <w:b/>
          <w:bCs/>
        </w:rPr>
        <w:t xml:space="preserve">Aim:</w:t>
      </w:r>
      <w:r>
        <w:t xml:space="preserve"> </w:t>
      </w:r>
      <w:r>
        <w:t xml:space="preserve">To shape the reader’s understanding that Christian readiness for Christ’s return is not individual, speculative, or anxious but corporate, identity-grounded, and anchored in God’s own faithfulness to complete what He has begun.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5:1–2</w:t>
            </w:r>
          </w:p>
        </w:tc>
        <w:tc>
          <w:tcPr/>
          <w:p>
            <w:pPr>
              <w:pStyle w:val="Compact"/>
            </w:pPr>
            <w:r>
              <w:t xml:space="preserve">Paul states there is no need to write about</w:t>
            </w:r>
            <w:r>
              <w:t xml:space="preserve"> </w:t>
            </w:r>
            <w:r>
              <w:t xml:space="preserve">“times and seasons”</w:t>
            </w:r>
            <w:r>
              <w:t xml:space="preserve"> </w:t>
            </w:r>
            <w:r>
              <w:t xml:space="preserve">— the Thessalonians already know the day of the Lord comes like a thief in the night</w:t>
            </w:r>
          </w:p>
        </w:tc>
        <w:tc>
          <w:tcPr/>
          <w:p>
            <w:pPr>
              <w:pStyle w:val="Compact"/>
            </w:pPr>
            <w:r>
              <w:t xml:space="preserve">The phrase</w:t>
            </w:r>
            <w:r>
              <w:t xml:space="preserve"> </w:t>
            </w:r>
            <w:r>
              <w:t xml:space="preserve">“you yourselves know”</w:t>
            </w:r>
            <w:r>
              <w:t xml:space="preserve"> </w:t>
            </w:r>
            <w:r>
              <w:t xml:space="preserve">(oidate) signals this is established teaching, not new instruction; connects to Jesus’s own language (Matt. 24:43)</w:t>
            </w:r>
          </w:p>
        </w:tc>
      </w:tr>
      <w:tr>
        <w:tc>
          <w:tcPr/>
          <w:p>
            <w:pPr>
              <w:pStyle w:val="Compact"/>
            </w:pPr>
            <w:r>
              <w:t xml:space="preserve">5:3</w:t>
            </w:r>
          </w:p>
        </w:tc>
        <w:tc>
          <w:tcPr/>
          <w:p>
            <w:pPr>
              <w:pStyle w:val="Compact"/>
            </w:pPr>
            <w:r>
              <w:t xml:space="preserve">While people say</w:t>
            </w:r>
            <w:r>
              <w:t xml:space="preserve"> </w:t>
            </w:r>
            <w:r>
              <w:t xml:space="preserve">“peace and safety,”</w:t>
            </w:r>
            <w:r>
              <w:t xml:space="preserve"> </w:t>
            </w:r>
            <w:r>
              <w:t xml:space="preserve">sudden destruction comes like birth pains on a pregnant woman — no escape</w:t>
            </w:r>
          </w:p>
        </w:tc>
        <w:tc>
          <w:tcPr/>
          <w:p>
            <w:pPr>
              <w:pStyle w:val="Compact"/>
            </w:pPr>
            <w:r>
              <w:t xml:space="preserve">Vivid eschatological imagery;</w:t>
            </w:r>
            <w:r>
              <w:t xml:space="preserve"> </w:t>
            </w:r>
            <w:r>
              <w:t xml:space="preserve">“peace and safety”</w:t>
            </w:r>
            <w:r>
              <w:t xml:space="preserve"> </w:t>
            </w:r>
            <w:r>
              <w:t xml:space="preserve">may echo Roman imperial propaganda (</w:t>
            </w:r>
            <w:r>
              <w:rPr>
                <w:i/>
                <w:iCs/>
              </w:rPr>
              <w:t xml:space="preserve">pax et securitas</w:t>
            </w:r>
            <w:r>
              <w:t xml:space="preserve">); birth pain image stresses inevitability and suddenness, not duration</w:t>
            </w:r>
          </w:p>
        </w:tc>
      </w:tr>
      <w:tr>
        <w:tc>
          <w:tcPr/>
          <w:p>
            <w:pPr>
              <w:pStyle w:val="Compact"/>
            </w:pPr>
            <w:r>
              <w:t xml:space="preserve">5:4–5</w:t>
            </w:r>
          </w:p>
        </w:tc>
        <w:tc>
          <w:tcPr/>
          <w:p>
            <w:pPr>
              <w:pStyle w:val="Compact"/>
            </w:pPr>
            <w:r>
              <w:t xml:space="preserve">But</w:t>
            </w:r>
            <w:r>
              <w:t xml:space="preserve"> </w:t>
            </w:r>
            <w:r>
              <w:t xml:space="preserve">“you”</w:t>
            </w:r>
            <w:r>
              <w:t xml:space="preserve"> </w:t>
            </w:r>
            <w:r>
              <w:t xml:space="preserve">are not in darkness; you are sons of light and sons of the day — not of the night or darkness</w:t>
            </w:r>
          </w:p>
        </w:tc>
        <w:tc>
          <w:tcPr/>
          <w:p>
            <w:pPr>
              <w:pStyle w:val="Compact"/>
            </w:pPr>
            <w:r>
              <w:t xml:space="preserve">Pronoun shift from</w:t>
            </w:r>
            <w:r>
              <w:t xml:space="preserve"> </w:t>
            </w:r>
            <w:r>
              <w:t xml:space="preserve">“they”</w:t>
            </w:r>
            <w:r>
              <w:t xml:space="preserve"> </w:t>
            </w:r>
            <w:r>
              <w:t xml:space="preserve">(v. 3) to</w:t>
            </w:r>
            <w:r>
              <w:t xml:space="preserve"> </w:t>
            </w:r>
            <w:r>
              <w:t xml:space="preserve">“you”</w:t>
            </w:r>
            <w:r>
              <w:t xml:space="preserve"> </w:t>
            </w:r>
            <w:r>
              <w:t xml:space="preserve">is exegetically decisive; identity (</w:t>
            </w:r>
            <w:r>
              <w:t xml:space="preserve">“you</w:t>
            </w:r>
            <w:r>
              <w:t xml:space="preserve"> </w:t>
            </w:r>
            <w:r>
              <w:rPr>
                <w:i/>
                <w:iCs/>
              </w:rPr>
              <w:t xml:space="preserve">are</w:t>
            </w:r>
            <w:r>
              <w:t xml:space="preserve">”</w:t>
            </w:r>
            <w:r>
              <w:t xml:space="preserve">) precedes imperative; dual identity (sons of light / sons of the day) is intensifying parallelism</w:t>
            </w:r>
          </w:p>
        </w:tc>
      </w:tr>
      <w:tr>
        <w:tc>
          <w:tcPr/>
          <w:p>
            <w:pPr>
              <w:pStyle w:val="Compact"/>
            </w:pPr>
            <w:r>
              <w:t xml:space="preserve">5:6–7</w:t>
            </w:r>
          </w:p>
        </w:tc>
        <w:tc>
          <w:tcPr/>
          <w:p>
            <w:pPr>
              <w:pStyle w:val="Compact"/>
            </w:pPr>
            <w:r>
              <w:t xml:space="preserve">Therefore: do not sleep as others do, but be awake and sober; those who sleep and get drunk do so at night</w:t>
            </w:r>
          </w:p>
        </w:tc>
        <w:tc>
          <w:tcPr/>
          <w:p>
            <w:pPr>
              <w:pStyle w:val="Compact"/>
            </w:pPr>
            <w:r>
              <w:t xml:space="preserve">“Others”</w:t>
            </w:r>
            <w:r>
              <w:t xml:space="preserve"> </w:t>
            </w:r>
            <w:r>
              <w:t xml:space="preserve">(hoi loipoi) — same phrase as 4:13 (</w:t>
            </w:r>
            <w:r>
              <w:t xml:space="preserve">“those who have no hope”</w:t>
            </w:r>
            <w:r>
              <w:t xml:space="preserve">); sleeping/drunkenness are metaphors for eschatological obliviousness and moral disorder</w:t>
            </w:r>
          </w:p>
        </w:tc>
      </w:tr>
      <w:tr>
        <w:tc>
          <w:tcPr/>
          <w:p>
            <w:pPr>
              <w:pStyle w:val="Compact"/>
            </w:pPr>
            <w:r>
              <w:t xml:space="preserve">5:8</w:t>
            </w:r>
          </w:p>
        </w:tc>
        <w:tc>
          <w:tcPr/>
          <w:p>
            <w:pPr>
              <w:pStyle w:val="Compact"/>
            </w:pPr>
            <w:r>
              <w:t xml:space="preserve">But since we belong to the day, let us be sober, having put on the breastplate of faith and love, and as a helmet the hope of salvation</w:t>
            </w:r>
          </w:p>
        </w:tc>
        <w:tc>
          <w:tcPr/>
          <w:p>
            <w:pPr>
              <w:pStyle w:val="Compact"/>
            </w:pPr>
            <w:r>
              <w:t xml:space="preserve">Armor triad (faith, love, hope) echoes 1:3 — the letter’s opening thanksgiving and this closing section form a structural inclusion; armor is divine provision (Isa. 59:17), not human achievement</w:t>
            </w:r>
          </w:p>
        </w:tc>
      </w:tr>
      <w:tr>
        <w:tc>
          <w:tcPr/>
          <w:p>
            <w:pPr>
              <w:pStyle w:val="Compact"/>
            </w:pPr>
            <w:r>
              <w:t xml:space="preserve">5:9–10</w:t>
            </w:r>
          </w:p>
        </w:tc>
        <w:tc>
          <w:tcPr/>
          <w:p>
            <w:pPr>
              <w:pStyle w:val="Compact"/>
            </w:pPr>
            <w:r>
              <w:t xml:space="preserve">God has not destined us for wrath but for obtaining salvation through Jesus Christ, who died for us so that whether we are awake or asleep we might live with Him</w:t>
            </w:r>
          </w:p>
        </w:tc>
        <w:tc>
          <w:tcPr/>
          <w:p>
            <w:pPr>
              <w:pStyle w:val="Compact"/>
            </w:pPr>
            <w:r>
              <w:t xml:space="preserve">Theological ground of the entire eschatological section: destiny is grace-determined, not circumstance-determined;</w:t>
            </w:r>
            <w:r>
              <w:t xml:space="preserve"> </w:t>
            </w:r>
            <w:r>
              <w:t xml:space="preserve">“awake or asleep”</w:t>
            </w:r>
            <w:r>
              <w:t xml:space="preserve"> </w:t>
            </w:r>
            <w:r>
              <w:t xml:space="preserve">here refers to alive or dead at the parousia, not moral states</w:t>
            </w:r>
          </w:p>
        </w:tc>
      </w:tr>
      <w:tr>
        <w:tc>
          <w:tcPr/>
          <w:p>
            <w:pPr>
              <w:pStyle w:val="Compact"/>
            </w:pPr>
            <w:r>
              <w:t xml:space="preserve">5:11</w:t>
            </w:r>
          </w:p>
        </w:tc>
        <w:tc>
          <w:tcPr/>
          <w:p>
            <w:pPr>
              <w:pStyle w:val="Compact"/>
            </w:pPr>
            <w:r>
              <w:t xml:space="preserve">Therefore encourage one another and build one another up, just as you are doing</w:t>
            </w:r>
          </w:p>
        </w:tc>
        <w:tc>
          <w:tcPr/>
          <w:p>
            <w:pPr>
              <w:pStyle w:val="Compact"/>
            </w:pPr>
            <w:r>
              <w:t xml:space="preserve">Mirrors 4:18 — the double eschatological unit (4:13–5:11) is framed by identical pastoral imperatives;</w:t>
            </w:r>
            <w:r>
              <w:t xml:space="preserve"> </w:t>
            </w:r>
            <w:r>
              <w:t xml:space="preserve">“just as you are doing”</w:t>
            </w:r>
            <w:r>
              <w:t xml:space="preserve"> </w:t>
            </w:r>
            <w:r>
              <w:t xml:space="preserve">— Paul encourages what is already occurring</w:t>
            </w:r>
          </w:p>
        </w:tc>
      </w:tr>
      <w:tr>
        <w:tc>
          <w:tcPr/>
          <w:p>
            <w:pPr>
              <w:pStyle w:val="Compact"/>
            </w:pPr>
            <w:r>
              <w:t xml:space="preserve">5:12–13</w:t>
            </w:r>
          </w:p>
        </w:tc>
        <w:tc>
          <w:tcPr/>
          <w:p>
            <w:pPr>
              <w:pStyle w:val="Compact"/>
            </w:pPr>
            <w:r>
              <w:t xml:space="preserve">Acknowledge and highly esteem those who labor among you, lead you, and admonish you; be at peace among yourselves</w:t>
            </w:r>
          </w:p>
        </w:tc>
        <w:tc>
          <w:tcPr/>
          <w:p>
            <w:pPr>
              <w:pStyle w:val="Compact"/>
            </w:pPr>
            <w:r>
              <w:t xml:space="preserve">“Know”</w:t>
            </w:r>
            <w:r>
              <w:t xml:space="preserve"> </w:t>
            </w:r>
            <w:r>
              <w:t xml:space="preserve">(eidēnai) here means recognize and honor; church leadership is grounded in function (labor, lead, admonish) rather than mere title; peace is a community-wide responsibility</w:t>
            </w:r>
          </w:p>
        </w:tc>
      </w:tr>
      <w:tr>
        <w:tc>
          <w:tcPr/>
          <w:p>
            <w:pPr>
              <w:pStyle w:val="Compact"/>
            </w:pPr>
            <w:r>
              <w:t xml:space="preserve">5:14</w:t>
            </w:r>
          </w:p>
        </w:tc>
        <w:tc>
          <w:tcPr/>
          <w:p>
            <w:pPr>
              <w:pStyle w:val="Compact"/>
            </w:pPr>
            <w:r>
              <w:t xml:space="preserve">Admonish the idle, encourage the fainthearted, help the weak, be patient with all</w:t>
            </w:r>
          </w:p>
        </w:tc>
        <w:tc>
          <w:tcPr/>
          <w:p>
            <w:pPr>
              <w:pStyle w:val="Compact"/>
            </w:pPr>
            <w:r>
              <w:t xml:space="preserve">The congregation is internally differentiated — different people have different needs requiring different responses;</w:t>
            </w:r>
            <w:r>
              <w:t xml:space="preserve"> </w:t>
            </w:r>
            <w:r>
              <w:t xml:space="preserve">“idle”</w:t>
            </w:r>
            <w:r>
              <w:t xml:space="preserve"> </w:t>
            </w:r>
            <w:r>
              <w:t xml:space="preserve">(ataktous) likely refers to those who had stopped working due to eschatological excitement (cf. 2 Thess. 3:6–12)</w:t>
            </w:r>
          </w:p>
        </w:tc>
      </w:tr>
      <w:tr>
        <w:tc>
          <w:tcPr/>
          <w:p>
            <w:pPr>
              <w:pStyle w:val="Compact"/>
            </w:pPr>
            <w:r>
              <w:t xml:space="preserve">5:15</w:t>
            </w:r>
          </w:p>
        </w:tc>
        <w:tc>
          <w:tcPr/>
          <w:p>
            <w:pPr>
              <w:pStyle w:val="Compact"/>
            </w:pPr>
            <w:r>
              <w:t xml:space="preserve">See that no one repays evil for evil; always seek to do good to one another and to everyone</w:t>
            </w:r>
          </w:p>
        </w:tc>
        <w:tc>
          <w:tcPr/>
          <w:p>
            <w:pPr>
              <w:pStyle w:val="Compact"/>
            </w:pPr>
            <w:r>
              <w:t xml:space="preserve">Governing principle of the whole paraenesis;</w:t>
            </w:r>
            <w:r>
              <w:t xml:space="preserve"> </w:t>
            </w:r>
            <w:r>
              <w:t xml:space="preserve">“everyone”</w:t>
            </w:r>
            <w:r>
              <w:t xml:space="preserve"> </w:t>
            </w:r>
            <w:r>
              <w:t xml:space="preserve">extends the community ethic beyond the congregation — external relations included</w:t>
            </w:r>
          </w:p>
        </w:tc>
      </w:tr>
      <w:tr>
        <w:tc>
          <w:tcPr/>
          <w:p>
            <w:pPr>
              <w:pStyle w:val="Compact"/>
            </w:pPr>
            <w:r>
              <w:t xml:space="preserve">5:16–18</w:t>
            </w:r>
          </w:p>
        </w:tc>
        <w:tc>
          <w:tcPr/>
          <w:p>
            <w:pPr>
              <w:pStyle w:val="Compact"/>
            </w:pPr>
            <w:r>
              <w:t xml:space="preserve">Rejoice always; pray without ceasing; give thanks in all circumstances — for this is God’s will for you in Christ Jesus</w:t>
            </w:r>
          </w:p>
        </w:tc>
        <w:tc>
          <w:tcPr/>
          <w:p>
            <w:pPr>
              <w:pStyle w:val="Compact"/>
            </w:pPr>
            <w:r>
              <w:t xml:space="preserve">Three terse imperatives (chairete, proseuchesthe, eucharisteite) — each stated without qualification;</w:t>
            </w:r>
            <w:r>
              <w:t xml:space="preserve"> </w:t>
            </w:r>
            <w:r>
              <w:t xml:space="preserve">“God’s will”</w:t>
            </w:r>
            <w:r>
              <w:t xml:space="preserve"> </w:t>
            </w:r>
            <w:r>
              <w:t xml:space="preserve">(to thelēma tou theou) grounds all three; notable that God’s will here is disposition, not event</w:t>
            </w:r>
          </w:p>
        </w:tc>
      </w:tr>
      <w:tr>
        <w:tc>
          <w:tcPr/>
          <w:p>
            <w:pPr>
              <w:pStyle w:val="Compact"/>
            </w:pPr>
            <w:r>
              <w:t xml:space="preserve">5:19–22</w:t>
            </w:r>
          </w:p>
        </w:tc>
        <w:tc>
          <w:tcPr/>
          <w:p>
            <w:pPr>
              <w:pStyle w:val="Compact"/>
            </w:pPr>
            <w:r>
              <w:t xml:space="preserve">Do not quench the Spirit; do not despise prophecy; test everything; hold fast to what is good; abstain from every form of evil</w:t>
            </w:r>
          </w:p>
        </w:tc>
        <w:tc>
          <w:tcPr/>
          <w:p>
            <w:pPr>
              <w:pStyle w:val="Compact"/>
            </w:pPr>
            <w:r>
              <w:t xml:space="preserve">Pneumatological cluster;</w:t>
            </w:r>
            <w:r>
              <w:t xml:space="preserve"> </w:t>
            </w:r>
            <w:r>
              <w:t xml:space="preserve">“quench”</w:t>
            </w:r>
            <w:r>
              <w:t xml:space="preserve"> </w:t>
            </w:r>
            <w:r>
              <w:t xml:space="preserve">(sbennyte) is fire-metaphor — the Spirit’s movement can be suppressed by corporate disposition; testing (dokimazete) balances openness to prophecy with discernment</w:t>
            </w:r>
          </w:p>
        </w:tc>
      </w:tr>
      <w:tr>
        <w:tc>
          <w:tcPr/>
          <w:p>
            <w:pPr>
              <w:pStyle w:val="Compact"/>
            </w:pPr>
            <w:r>
              <w:t xml:space="preserve">5:23–24</w:t>
            </w:r>
          </w:p>
        </w:tc>
        <w:tc>
          <w:tcPr/>
          <w:p>
            <w:pPr>
              <w:pStyle w:val="Compact"/>
            </w:pPr>
            <w:r>
              <w:t xml:space="preserve">May the God of peace Himself sanctify you completely; may your whole spirit, soul, and body be kept blameless at the coming of Christ; He who calls you is faithful — He will do it</w:t>
            </w:r>
          </w:p>
        </w:tc>
        <w:tc>
          <w:tcPr/>
          <w:p>
            <w:pPr>
              <w:pStyle w:val="Compact"/>
            </w:pPr>
            <w:r>
              <w:t xml:space="preserve">The letter’s theological anchor;</w:t>
            </w:r>
            <w:r>
              <w:t xml:space="preserve"> </w:t>
            </w:r>
            <w:r>
              <w:t xml:space="preserve">“completely”</w:t>
            </w:r>
            <w:r>
              <w:t xml:space="preserve"> </w:t>
            </w:r>
            <w:r>
              <w:t xml:space="preserve">(holoteleis) and</w:t>
            </w:r>
            <w:r>
              <w:t xml:space="preserve"> </w:t>
            </w:r>
            <w:r>
              <w:t xml:space="preserve">“whole”</w:t>
            </w:r>
            <w:r>
              <w:t xml:space="preserve"> </w:t>
            </w:r>
            <w:r>
              <w:t xml:space="preserve">(holoklēron) — total-person, not partial;</w:t>
            </w:r>
            <w:r>
              <w:t xml:space="preserve"> </w:t>
            </w:r>
            <w:r>
              <w:t xml:space="preserve">“at the coming”</w:t>
            </w:r>
            <w:r>
              <w:t xml:space="preserve"> </w:t>
            </w:r>
            <w:r>
              <w:t xml:space="preserve">— eschatological frame; v. 24 is not wish but ground: divine faithfulness guarantees the outcome</w:t>
            </w:r>
          </w:p>
        </w:tc>
      </w:tr>
      <w:tr>
        <w:tc>
          <w:tcPr/>
          <w:p>
            <w:pPr>
              <w:pStyle w:val="Compact"/>
            </w:pPr>
            <w:r>
              <w:t xml:space="preserve">5:25–27</w:t>
            </w:r>
          </w:p>
        </w:tc>
        <w:tc>
          <w:tcPr/>
          <w:p>
            <w:pPr>
              <w:pStyle w:val="Compact"/>
            </w:pPr>
            <w:r>
              <w:t xml:space="preserve">Request for prayer; greeting of the holy kiss; solemn charge to read the letter aloud to all</w:t>
            </w:r>
          </w:p>
        </w:tc>
        <w:tc>
          <w:tcPr/>
          <w:p>
            <w:pPr>
              <w:pStyle w:val="Compact"/>
            </w:pPr>
            <w:r>
              <w:t xml:space="preserve">“All the brothers”</w:t>
            </w:r>
            <w:r>
              <w:t xml:space="preserve"> </w:t>
            </w:r>
            <w:r>
              <w:t xml:space="preserve">— public reading in gathered worship; the solemn charge (enorkizō — I adjure you) is unusually strong; suggests the letter’s content is essential for the whole community</w:t>
            </w:r>
          </w:p>
        </w:tc>
      </w:tr>
      <w:tr>
        <w:tc>
          <w:tcPr/>
          <w:p>
            <w:pPr>
              <w:pStyle w:val="Compact"/>
            </w:pPr>
            <w:r>
              <w:t xml:space="preserve">5:28</w:t>
            </w:r>
          </w:p>
        </w:tc>
        <w:tc>
          <w:tcPr/>
          <w:p>
            <w:pPr>
              <w:pStyle w:val="Compact"/>
            </w:pPr>
            <w:r>
              <w:t xml:space="preserve">Grace of the Lord Jesus Christ be with you</w:t>
            </w:r>
          </w:p>
        </w:tc>
        <w:tc>
          <w:tcPr/>
          <w:p>
            <w:pPr>
              <w:pStyle w:val="Compact"/>
            </w:pPr>
            <w:r>
              <w:t xml:space="preserve">Standard Pauline closing benediction; grace is the envelope in which the entire letter is delivered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5:1–3</w:t>
            </w:r>
          </w:p>
        </w:tc>
        <w:tc>
          <w:tcPr/>
          <w:p>
            <w:pPr>
              <w:pStyle w:val="Compact"/>
            </w:pPr>
            <w:r>
              <w:t xml:space="preserve">The Day Comes — Its Character and Its Coming</w:t>
            </w:r>
          </w:p>
        </w:tc>
      </w:tr>
      <w:tr>
        <w:tc>
          <w:tcPr/>
          <w:p>
            <w:pPr>
              <w:pStyle w:val="Compact"/>
            </w:pPr>
            <w:r>
              <w:t xml:space="preserve">2</w:t>
            </w:r>
          </w:p>
        </w:tc>
        <w:tc>
          <w:tcPr/>
          <w:p>
            <w:pPr>
              <w:pStyle w:val="Compact"/>
            </w:pPr>
            <w:r>
              <w:t xml:space="preserve">5:4–8</w:t>
            </w:r>
          </w:p>
        </w:tc>
        <w:tc>
          <w:tcPr/>
          <w:p>
            <w:pPr>
              <w:pStyle w:val="Compact"/>
            </w:pPr>
            <w:r>
              <w:t xml:space="preserve">Your Identity — Sons of the Day, Armed and Awake</w:t>
            </w:r>
          </w:p>
        </w:tc>
      </w:tr>
      <w:tr>
        <w:tc>
          <w:tcPr/>
          <w:p>
            <w:pPr>
              <w:pStyle w:val="Compact"/>
            </w:pPr>
            <w:r>
              <w:t xml:space="preserve">3</w:t>
            </w:r>
          </w:p>
        </w:tc>
        <w:tc>
          <w:tcPr/>
          <w:p>
            <w:pPr>
              <w:pStyle w:val="Compact"/>
            </w:pPr>
            <w:r>
              <w:t xml:space="preserve">5:9–11</w:t>
            </w:r>
          </w:p>
        </w:tc>
        <w:tc>
          <w:tcPr/>
          <w:p>
            <w:pPr>
              <w:pStyle w:val="Compact"/>
            </w:pPr>
            <w:r>
              <w:t xml:space="preserve">The Ground of Readiness — Destined for Salvation, Called to Mutual Building</w:t>
            </w:r>
          </w:p>
        </w:tc>
      </w:tr>
      <w:tr>
        <w:tc>
          <w:tcPr/>
          <w:p>
            <w:pPr>
              <w:pStyle w:val="Compact"/>
            </w:pPr>
            <w:r>
              <w:t xml:space="preserve">4</w:t>
            </w:r>
          </w:p>
        </w:tc>
        <w:tc>
          <w:tcPr/>
          <w:p>
            <w:pPr>
              <w:pStyle w:val="Compact"/>
            </w:pPr>
            <w:r>
              <w:t xml:space="preserve">5:12–15</w:t>
            </w:r>
          </w:p>
        </w:tc>
        <w:tc>
          <w:tcPr/>
          <w:p>
            <w:pPr>
              <w:pStyle w:val="Compact"/>
            </w:pPr>
            <w:r>
              <w:t xml:space="preserve">Life Together — Honoring Leaders, Differentiating Care, Governing Principle</w:t>
            </w:r>
          </w:p>
        </w:tc>
      </w:tr>
      <w:tr>
        <w:tc>
          <w:tcPr/>
          <w:p>
            <w:pPr>
              <w:pStyle w:val="Compact"/>
            </w:pPr>
            <w:r>
              <w:t xml:space="preserve">5</w:t>
            </w:r>
          </w:p>
        </w:tc>
        <w:tc>
          <w:tcPr/>
          <w:p>
            <w:pPr>
              <w:pStyle w:val="Compact"/>
            </w:pPr>
            <w:r>
              <w:t xml:space="preserve">5:16–22</w:t>
            </w:r>
          </w:p>
        </w:tc>
        <w:tc>
          <w:tcPr/>
          <w:p>
            <w:pPr>
              <w:pStyle w:val="Compact"/>
            </w:pPr>
            <w:r>
              <w:t xml:space="preserve">Corporate Disposition — Joy, Prayer, Gratitude, Spirit-Openness, Discernment</w:t>
            </w:r>
          </w:p>
        </w:tc>
      </w:tr>
      <w:tr>
        <w:tc>
          <w:tcPr/>
          <w:p>
            <w:pPr>
              <w:pStyle w:val="Compact"/>
            </w:pPr>
            <w:r>
              <w:t xml:space="preserve">6</w:t>
            </w:r>
          </w:p>
        </w:tc>
        <w:tc>
          <w:tcPr/>
          <w:p>
            <w:pPr>
              <w:pStyle w:val="Compact"/>
            </w:pPr>
            <w:r>
              <w:t xml:space="preserve">5:23–24</w:t>
            </w:r>
          </w:p>
        </w:tc>
        <w:tc>
          <w:tcPr/>
          <w:p>
            <w:pPr>
              <w:pStyle w:val="Compact"/>
            </w:pPr>
            <w:r>
              <w:t xml:space="preserve">The Anchor — God’s Faithfulness to Complete What He Has Begun</w:t>
            </w:r>
          </w:p>
        </w:tc>
      </w:tr>
      <w:tr>
        <w:tc>
          <w:tcPr/>
          <w:p>
            <w:pPr>
              <w:pStyle w:val="Compact"/>
            </w:pPr>
            <w:r>
              <w:t xml:space="preserve">7</w:t>
            </w:r>
          </w:p>
        </w:tc>
        <w:tc>
          <w:tcPr/>
          <w:p>
            <w:pPr>
              <w:pStyle w:val="Compact"/>
            </w:pPr>
            <w:r>
              <w:t xml:space="preserve">5:25–28</w:t>
            </w:r>
          </w:p>
        </w:tc>
        <w:tc>
          <w:tcPr/>
          <w:p>
            <w:pPr>
              <w:pStyle w:val="Compact"/>
            </w:pPr>
            <w:r>
              <w:t xml:space="preserve">Closing Requests, Fraternal Greeting, Public Reading, Benediction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Children of the day live in corporate, Spirit-sustained readiness until the Lord returns.</w:t>
      </w:r>
    </w:p>
    <w:p>
      <w:pPr>
        <w:pStyle w:val="BodyText"/>
      </w:pPr>
      <w:r>
        <w:rPr>
          <w:b/>
          <w:bCs/>
        </w:rPr>
        <w:t xml:space="preserve">Primary Claim:</w:t>
      </w:r>
      <w:r>
        <w:t xml:space="preserve"> </w:t>
      </w:r>
      <w:r>
        <w:t xml:space="preserve">Because you belong to the day and not the darkness, God is calling you to a wide-awake, mutually-building communal life — and because He is faithful, He will complete in you what He has begun.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Refuse to read the signs — read your identity instead.</w:t>
      </w:r>
      <w:r>
        <w:t xml:space="preserve"> </w:t>
      </w:r>
      <w:r>
        <w:rPr>
          <w:i/>
          <w:iCs/>
        </w:rPr>
        <w:t xml:space="preserve">(Mind/Belief)</w:t>
      </w:r>
    </w:p>
    <w:p>
      <w:pPr>
        <w:pStyle w:val="BodyText"/>
      </w:pPr>
      <w:r>
        <w:t xml:space="preserve">The most common response to eschatological uncertainty is anxious calculation — scanning headlines, tracking events, building timelines. Paul refuses to give the Thessalonians a schedule precisely because the schedule is not the point. The point is who you are: sons of light, sons of the day. The person who spends their energy calculating the timetable is functionally living in the dark — treating the unknown timing as the governing reality rather than the known identity. The application is a reorientation of attention: stop reading signs; start living out what you already are. Your watchfulness is not vigilance about dates — it is sobriety about self, community, and the God who has destined you for salvation, not wrath.</w:t>
      </w:r>
    </w:p>
    <w:p>
      <w:pPr>
        <w:pStyle w:val="BodyText"/>
      </w:pPr>
      <w:r>
        <w:rPr>
          <w:b/>
          <w:bCs/>
        </w:rPr>
        <w:t xml:space="preserve">2. Feel the full weight of being destined for salvation, not wrath.</w:t>
      </w:r>
      <w:r>
        <w:t xml:space="preserve"> </w:t>
      </w:r>
      <w:r>
        <w:rPr>
          <w:i/>
          <w:iCs/>
        </w:rPr>
        <w:t xml:space="preserve">(Affections/Worship)</w:t>
      </w:r>
    </w:p>
    <w:p>
      <w:pPr>
        <w:pStyle w:val="BodyText"/>
      </w:pPr>
      <w:r>
        <w:t xml:space="preserve">Verse 9 is not a footnote — it is the emotional and theological ground of the chapter’s entire ethical structure. God did not appoint you for wrath. Christ died for you so that whether you are alive or dead at His coming, you will live with Him. This is not a proposition to be acknowledged and moved past — it is a reality to be felt, inhabited, and worshipped toward. The chapter’s ethical seriousness (awake, sober, armed, rejoicing, praying, giving thanks in all circumstances) only makes sense as the response of a people who have been struck by this. The specific pitfall this application guards against is receiving grace as background noise — familiar enough to repeat, not present enough to move. Let the destiny God has given you actually land: no condemnation, no wrath, life with Christ — not because you stayed awake, but because He died.</w:t>
      </w:r>
    </w:p>
    <w:p>
      <w:pPr>
        <w:pStyle w:val="BodyText"/>
      </w:pPr>
      <w:r>
        <w:rPr>
          <w:b/>
          <w:bCs/>
        </w:rPr>
        <w:t xml:space="preserve">3. Name the specific people in your congregation who need different kinds of care — and provide the right kind.</w:t>
      </w:r>
      <w:r>
        <w:t xml:space="preserve"> </w:t>
      </w:r>
      <w:r>
        <w:rPr>
          <w:i/>
          <w:iCs/>
        </w:rPr>
        <w:t xml:space="preserve">(Will/Behavior)</w:t>
      </w:r>
    </w:p>
    <w:p>
      <w:pPr>
        <w:pStyle w:val="BodyText"/>
      </w:pPr>
      <w:r>
        <w:t xml:space="preserve">Verse 14 is one of the most practically demanding verses in the Pauline letters, and it is consistently smoothed over. Paul does not say</w:t>
      </w:r>
      <w:r>
        <w:t xml:space="preserve"> </w:t>
      </w:r>
      <w:r>
        <w:t xml:space="preserve">“care for everyone”</w:t>
      </w:r>
      <w:r>
        <w:t xml:space="preserve"> </w:t>
      </w:r>
      <w:r>
        <w:t xml:space="preserve">— he says the idle need to be admonished, the fainthearted need to be encouraged, the weak need to be helped, and all of this requires patience. These are different people requiring different responses. Admonishing the fainthearted is cruelty; encouraging the idle is enabling. The application requires the congregation (not just pastoral staff) to develop the discernment to know which person in front of them is idle and which is fainthearted — and to love them accordingly. This is corporate Christian maturity, not pastoral professionalism. Name specific people you know. Ask honestly: what does this person actually need? Then provide that, not the generic version.</w:t>
      </w:r>
    </w:p>
    <w:p>
      <w:pPr>
        <w:pStyle w:val="BodyText"/>
      </w:pPr>
      <w:r>
        <w:rPr>
          <w:b/>
          <w:bCs/>
        </w:rPr>
        <w:t xml:space="preserve">4. Recover prayer, joy, and gratitude as the corporate air you breathe, not the private practices you maintain.</w:t>
      </w:r>
      <w:r>
        <w:t xml:space="preserve"> </w:t>
      </w:r>
      <w:r>
        <w:rPr>
          <w:i/>
          <w:iCs/>
        </w:rPr>
        <w:t xml:space="preserve">(Affections/Worship)</w:t>
      </w:r>
    </w:p>
    <w:p>
      <w:pPr>
        <w:pStyle w:val="BodyText"/>
      </w:pPr>
      <w:r>
        <w:t xml:space="preserve">Paul’s three terse imperatives in vv. 16–18 — rejoice always, pray without ceasing, give thanks in all circumstances — are almost always preached as individual disciplines. But they are addressed to a plural</w:t>
      </w:r>
      <w:r>
        <w:t xml:space="preserve"> </w:t>
      </w:r>
      <w:r>
        <w:t xml:space="preserve">“you”</w:t>
      </w:r>
      <w:r>
        <w:t xml:space="preserve"> </w:t>
      </w:r>
      <w:r>
        <w:t xml:space="preserve">in a communal context. The question is not only</w:t>
      </w:r>
      <w:r>
        <w:t xml:space="preserve"> </w:t>
      </w:r>
      <w:r>
        <w:t xml:space="preserve">“do I pray consistently?”</w:t>
      </w:r>
      <w:r>
        <w:t xml:space="preserve"> </w:t>
      </w:r>
      <w:r>
        <w:t xml:space="preserve">but</w:t>
      </w:r>
      <w:r>
        <w:t xml:space="preserve"> </w:t>
      </w:r>
      <w:r>
        <w:t xml:space="preserve">“does our community breathe prayer, inhabit rejoicing, and practice gratitude as its normal atmosphere?”</w:t>
      </w:r>
      <w:r>
        <w:t xml:space="preserve"> </w:t>
      </w:r>
      <w:r>
        <w:t xml:space="preserve">This is a corporate disposition, and it can be quenched corporately (v. 19) just as it can be cultivated corporately. The application calls for honest assessment: what is the actual emotional and pneumatological atmosphere of your congregation? Is it characterized by chronic anxiety, ambient complaint, and functional prayerlessness — or by the sober joy and constant recourse to God that Paul envisions? Name the gap. Work toward closing it together.</w:t>
      </w:r>
    </w:p>
    <w:p>
      <w:pPr>
        <w:pStyle w:val="BodyText"/>
      </w:pPr>
      <w:r>
        <w:rPr>
          <w:b/>
          <w:bCs/>
        </w:rPr>
        <w:t xml:space="preserve">5. Rest the weight of your sanctification on God’s word, not your performance.</w:t>
      </w:r>
      <w:r>
        <w:t xml:space="preserve"> </w:t>
      </w:r>
      <w:r>
        <w:rPr>
          <w:i/>
          <w:iCs/>
        </w:rPr>
        <w:t xml:space="preserve">(Mind/Belief)</w:t>
      </w:r>
    </w:p>
    <w:p>
      <w:pPr>
        <w:pStyle w:val="BodyText"/>
      </w:pPr>
      <w:r>
        <w:t xml:space="preserve">Verses 23–24 are the chapter’s anchor and its most frequently mishandled verses.</w:t>
      </w:r>
      <w:r>
        <w:t xml:space="preserve"> </w:t>
      </w:r>
      <w:r>
        <w:t xml:space="preserve">“May God sanctify you completely”</w:t>
      </w:r>
      <w:r>
        <w:t xml:space="preserve"> </w:t>
      </w:r>
      <w:r>
        <w:t xml:space="preserve">is read as aspiration — a hope that you’ll do better. But the grammar, the eschatological frame (</w:t>
      </w:r>
      <w:r>
        <w:t xml:space="preserve">“at the coming of Christ”</w:t>
      </w:r>
      <w:r>
        <w:t xml:space="preserve">), and especially v. 24 (</w:t>
      </w:r>
      <w:r>
        <w:t xml:space="preserve">“He who calls you is faithful; He will do it”</w:t>
      </w:r>
      <w:r>
        <w:t xml:space="preserve">) make clear that the subject doing the sanctifying is God, the timeframe is eschatological, and the guarantee is divine faithfulness. The practical application is this: you are not responsible for manufacturing your own holiness; you are responsible for living out of the identity God has given you, in dependence on the Spirit He has not extinguished, in the community He has placed you in — trusting that He who started this will finish it. The specific relief this brings is freedom from performance-as-ground: you can obey the imperatives of vv. 12–22 out of identity and trust rather than fear and accumulation.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Thessalonians 5 teaches that God’s sovereign determination of His people’s destiny (v. 9 —</w:t>
      </w:r>
      <w:r>
        <w:t xml:space="preserve"> </w:t>
      </w:r>
      <w:r>
        <w:t xml:space="preserve">“God has not destined us for wrath but for obtaining salvation”</w:t>
      </w:r>
      <w:r>
        <w:t xml:space="preserve">) is the ground of Christian ethical seriousness, not its obstacle. The passage reveals that God’s eschatological purposes are not impersonal — they are worked out through the communal life of His people, whose alertness, sobriety, mutual care, prayer, and thankfulness are the concrete form that eschatological belonging takes in the present age. The benediction of vv. 23–24 discloses that sanctification — the whole-person preservation of spirit, soul, and body blameless before God — is ultimately God’s own act, grounded in His calling and guaranteed by His faithfulness. This is not passive-ism: the imperatives of the chapter are real and demanding. But they are imperatives addressed to people whose ending is already secured by Someone other than themselves.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concentrated display of the Reformed conviction that indicative precedes and grounds imperative at every level. The ethical imperatives of vv. 6–8 and vv. 12–22 derive their force entirely from the prior indicative:</w:t>
      </w:r>
      <w:r>
        <w:t xml:space="preserve"> </w:t>
      </w:r>
      <w:r>
        <w:t xml:space="preserve">“you are sons of light”</w:t>
      </w:r>
      <w:r>
        <w:t xml:space="preserve"> </w:t>
      </w:r>
      <w:r>
        <w:t xml:space="preserve">(v. 5),</w:t>
      </w:r>
      <w:r>
        <w:t xml:space="preserve"> </w:t>
      </w:r>
      <w:r>
        <w:t xml:space="preserve">“God has not destined us for wrath”</w:t>
      </w:r>
      <w:r>
        <w:t xml:space="preserve"> </w:t>
      </w:r>
      <w:r>
        <w:t xml:space="preserve">(v. 9),</w:t>
      </w:r>
      <w:r>
        <w:t xml:space="preserve"> </w:t>
      </w:r>
      <w:r>
        <w:t xml:space="preserve">“He who calls you is faithful”</w:t>
      </w:r>
      <w:r>
        <w:t xml:space="preserve"> </w:t>
      </w:r>
      <w:r>
        <w:t xml:space="preserve">(v. 24). This is the grammar of grace-motivated obedience, not law-motivated performance. The chapter also grounds Reformed ecclesiology: the community — not the isolated individual — is the primary context in which eschatological readiness is lived out; leaders are honored for their function of laboring and admonishing; members are differentiated and pastored accordingly. Finally, the sanctification benediction of vv. 23–24 is among the clearest Pauline statements of the doctrine of perseverance understood as divine preservation: God is not the assistant of the believer’s self-improvement program — He is the faithful Initiator and Completer of their salvation, working through the Spirit He has given and will not retract.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a child of the day — not because you’ve stayed awake, but because God destined you for salvation through Christ who died for you. That means the day of the Lord is not coming</w:t>
      </w:r>
      <w:r>
        <w:t xml:space="preserve"> </w:t>
      </w:r>
      <w:r>
        <w:rPr>
          <w:i/>
          <w:iCs/>
        </w:rPr>
        <w:t xml:space="preserve">for</w:t>
      </w:r>
      <w:r>
        <w:t xml:space="preserve"> </w:t>
      </w:r>
      <w:r>
        <w:t xml:space="preserve">you — it is coming</w:t>
      </w:r>
      <w:r>
        <w:t xml:space="preserve"> </w:t>
      </w:r>
      <w:r>
        <w:rPr>
          <w:i/>
          <w:iCs/>
        </w:rPr>
        <w:t xml:space="preserve">to complete</w:t>
      </w:r>
      <w:r>
        <w:t xml:space="preserve"> </w:t>
      </w:r>
      <w:r>
        <w:t xml:space="preserve">what God has already started in you. So stop calculating the timetable. Stop living like an orphan in the dark. Wake up, stay sober, build the people next to you, and let the God who called you carry the weight of finishing you — because He will.</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eschatological section into a prophecy lecture.</w:t>
      </w:r>
      <w:r>
        <w:t xml:space="preserve"> </w:t>
      </w:r>
      <w:r>
        <w:t xml:space="preserve">Verses 1–11 are regularly preached as an occasion to expound end-times chronology — the rapture, the tribulation, the signs of the times. Paul’s explicit statement in v. 1 (</w:t>
      </w:r>
      <w:r>
        <w:t xml:space="preserve">“you have no need to have anything written to you”</w:t>
      </w:r>
      <w:r>
        <w:t xml:space="preserve">) is a direct refusal to do this. The point is not the schedule but the posture. Any preaching that spends more time on the timeline than on the identity (</w:t>
      </w:r>
      <w:r>
        <w:t xml:space="preserve">“sons of light,”</w:t>
      </w:r>
      <w:r>
        <w:t xml:space="preserve"> </w:t>
      </w:r>
      <w:r>
        <w:t xml:space="preserve">v. 5) and the ground (v. 9, v. 24) has inverted the passage’s priorities.</w:t>
      </w:r>
    </w:p>
    <w:p>
      <w:pPr>
        <w:numPr>
          <w:ilvl w:val="0"/>
          <w:numId w:val="1002"/>
        </w:numPr>
      </w:pPr>
      <w:r>
        <w:rPr>
          <w:b/>
          <w:bCs/>
        </w:rPr>
        <w:t xml:space="preserve">Dividing the chapter into two unrelated sermons.</w:t>
      </w:r>
      <w:r>
        <w:t xml:space="preserve"> </w:t>
      </w:r>
      <w:r>
        <w:t xml:space="preserve">The structural break between v. 11 and v. 12 is real, but the chapter is a unified whole. The eschatological identity of vv. 1–11 is the theological ground for the paraenesis of vv. 12–22, and the benediction of vv. 23–24 anchors both. Preaching the paraenesis without the eschatological frame produces moralism. Preaching the eschatology without the paraenesis produces speculation. The chapter requires both movements to be heard together.</w:t>
      </w:r>
    </w:p>
    <w:p>
      <w:pPr>
        <w:numPr>
          <w:ilvl w:val="0"/>
          <w:numId w:val="1002"/>
        </w:numPr>
      </w:pPr>
      <w:r>
        <w:rPr>
          <w:b/>
          <w:bCs/>
        </w:rPr>
        <w:t xml:space="preserve">Treating vv. 14–22 as a disconnected ethical checklist.</w:t>
      </w:r>
      <w:r>
        <w:t xml:space="preserve"> </w:t>
      </w:r>
      <w:r>
        <w:t xml:space="preserve">The brevity of Paul’s imperatives in vv. 14–22 invites bullet-point preaching that has no governing logic — just</w:t>
      </w:r>
      <w:r>
        <w:t xml:space="preserve"> </w:t>
      </w:r>
      <w:r>
        <w:t xml:space="preserve">“do these things.”</w:t>
      </w:r>
      <w:r>
        <w:t xml:space="preserve"> </w:t>
      </w:r>
      <w:r>
        <w:t xml:space="preserve">The congregation’s differentiated needs (v. 14), the governing principle of good-doing (v. 15), the pneumatological grounding (vv. 19–22), and the eschatological frame all give the list coherence. Preaching without that coherence produces either guilt or indifference.</w:t>
      </w:r>
    </w:p>
    <w:p>
      <w:pPr>
        <w:numPr>
          <w:ilvl w:val="0"/>
          <w:numId w:val="1002"/>
        </w:numPr>
      </w:pPr>
      <w:r>
        <w:rPr>
          <w:b/>
          <w:bCs/>
        </w:rPr>
        <w:t xml:space="preserve">Moralizing</w:t>
      </w:r>
      <w:r>
        <w:rPr>
          <w:b/>
          <w:bCs/>
        </w:rPr>
        <w:t xml:space="preserve"> </w:t>
      </w:r>
      <w:r>
        <w:rPr>
          <w:b/>
          <w:bCs/>
        </w:rPr>
        <w:t xml:space="preserve">“rejoice always, pray without ceasing, give thanks in all circumstances”</w:t>
      </w:r>
      <w:r>
        <w:rPr>
          <w:b/>
          <w:bCs/>
        </w:rPr>
        <w:t xml:space="preserve"> </w:t>
      </w:r>
      <w:r>
        <w:rPr>
          <w:b/>
          <w:bCs/>
        </w:rPr>
        <w:t xml:space="preserve">(vv. 16–18).</w:t>
      </w:r>
      <w:r>
        <w:t xml:space="preserve"> </w:t>
      </w:r>
      <w:r>
        <w:t xml:space="preserve">These three imperatives are regularly preached as aspirational disciplines —</w:t>
      </w:r>
      <w:r>
        <w:t xml:space="preserve"> </w:t>
      </w:r>
      <w:r>
        <w:t xml:space="preserve">“work toward this.”</w:t>
      </w:r>
      <w:r>
        <w:t xml:space="preserve"> </w:t>
      </w:r>
      <w:r>
        <w:t xml:space="preserve">This misses both the brevity (Paul states them as if they are simply what happens in this community) and the community orientation (the</w:t>
      </w:r>
      <w:r>
        <w:t xml:space="preserve"> </w:t>
      </w:r>
      <w:r>
        <w:t xml:space="preserve">“you”</w:t>
      </w:r>
      <w:r>
        <w:t xml:space="preserve"> </w:t>
      </w:r>
      <w:r>
        <w:t xml:space="preserve">is plural). The more penetrating question for a congregation is not</w:t>
      </w:r>
      <w:r>
        <w:t xml:space="preserve"> </w:t>
      </w:r>
      <w:r>
        <w:t xml:space="preserve">“are you individually maintaining these practices?”</w:t>
      </w:r>
      <w:r>
        <w:t xml:space="preserve"> </w:t>
      </w:r>
      <w:r>
        <w:t xml:space="preserve">but</w:t>
      </w:r>
      <w:r>
        <w:t xml:space="preserve"> </w:t>
      </w:r>
      <w:r>
        <w:t xml:space="preserve">“is this the actual atmosphere of our common life?”</w:t>
      </w:r>
      <w:r>
        <w:t xml:space="preserve"> </w:t>
      </w:r>
      <w:r>
        <w:t xml:space="preserve">Shifting the frame from individual discipline to communal culture is exegetically honest and pastorally generative.</w:t>
      </w:r>
    </w:p>
    <w:p>
      <w:pPr>
        <w:numPr>
          <w:ilvl w:val="0"/>
          <w:numId w:val="1002"/>
        </w:numPr>
      </w:pPr>
      <w:r>
        <w:rPr>
          <w:b/>
          <w:bCs/>
        </w:rPr>
        <w:t xml:space="preserve">Reading vv. 23–24 as merely aspirational — a prayer that you’ll become holier.</w:t>
      </w:r>
      <w:r>
        <w:t xml:space="preserve"> </w:t>
      </w:r>
      <w:r>
        <w:t xml:space="preserve">This is the chapter’s most frequently mishandled verse. When preachers read</w:t>
      </w:r>
      <w:r>
        <w:t xml:space="preserve"> </w:t>
      </w:r>
      <w:r>
        <w:t xml:space="preserve">“may God sanctify you completely”</w:t>
      </w:r>
      <w:r>
        <w:t xml:space="preserve"> </w:t>
      </w:r>
      <w:r>
        <w:t xml:space="preserve">as a wish that the congregation would improve its spiritual disciplines, they have missed the subject (God), the timeframe (the parousia), and above all v. 24 (the guarantee is God’s faithfulness, not human effort). The verse is not aspiration — it is eschatological anchor. Preaching it as aspiration produces performance anxiety; preaching it as anchor produces rested obedience.</w:t>
      </w:r>
    </w:p>
    <w:p>
      <w:pPr>
        <w:numPr>
          <w:ilvl w:val="0"/>
          <w:numId w:val="1002"/>
        </w:numPr>
      </w:pPr>
      <w:r>
        <w:rPr>
          <w:b/>
          <w:bCs/>
        </w:rPr>
        <w:t xml:space="preserve">Preaching the armor of vv. 8 as human strategy rather than received provision.</w:t>
      </w:r>
      <w:r>
        <w:t xml:space="preserve"> </w:t>
      </w:r>
      <w:r>
        <w:t xml:space="preserve">The armor of faith, love, and hope is drawn from Isaiah 59:17, where God Himself dons the armor as the Divine Warrior. Paul’s application to the believer is not</w:t>
      </w:r>
      <w:r>
        <w:t xml:space="preserve"> </w:t>
      </w:r>
      <w:r>
        <w:t xml:space="preserve">“now you go armor up”</w:t>
      </w:r>
      <w:r>
        <w:t xml:space="preserve"> </w:t>
      </w:r>
      <w:r>
        <w:t xml:space="preserve">— it is</w:t>
      </w:r>
      <w:r>
        <w:t xml:space="preserve"> </w:t>
      </w:r>
      <w:r>
        <w:t xml:space="preserve">“here is the armor that belongs to the Messiah; you are His people; wear it.”</w:t>
      </w:r>
      <w:r>
        <w:t xml:space="preserve"> </w:t>
      </w:r>
      <w:r>
        <w:t xml:space="preserve">This shifts the entire tone from heroic moral effort to received identity. The preacher who presents the armor as primarily a self-discipline model has lost the Christological force of the image.</w:t>
      </w:r>
    </w:p>
    <w:p>
      <w:r>
        <w:pict>
          <v:rect style="width:0;height:1.5pt" o:hralign="center" o:hrstd="t" o:hr="t"/>
        </w:pict>
      </w:r>
    </w:p>
    <w:p>
      <w:pPr>
        <w:pStyle w:val="FirstParagraph"/>
      </w:pPr>
      <w:r>
        <w:rPr>
          <w:i/>
          <w:iCs/>
        </w:rPr>
        <w:t xml:space="preserve">Document: 52 1 Thessalonians 05.docx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2026-07-14T21:08:15Z</dcterms:created>
  <dcterms:modified xsi:type="dcterms:W3CDTF">2026-07-14T21:08:15Z</dcterms:modified>
</cp:coreProperties>
</file>

<file path=docProps/custom.xml><?xml version="1.0" encoding="utf-8"?>
<Properties xmlns="http://schemas.openxmlformats.org/officeDocument/2006/custom-properties" xmlns:vt="http://schemas.openxmlformats.org/officeDocument/2006/docPropsVTypes"/>
</file>